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4E52" w:rsidRPr="006B4E52" w:rsidRDefault="006B4E52" w:rsidP="006B4E52">
      <w:pPr>
        <w:widowControl/>
        <w:suppressAutoHyphens w:val="0"/>
        <w:spacing w:before="100" w:beforeAutospacing="1" w:after="100" w:afterAutospacing="1"/>
        <w:jc w:val="center"/>
        <w:rPr>
          <w:rFonts w:eastAsia="Times New Roman"/>
          <w:lang w:eastAsia="bg-BG"/>
        </w:rPr>
      </w:pPr>
      <w:r w:rsidRPr="006B4E52">
        <w:rPr>
          <w:rFonts w:ascii="Arial" w:eastAsia="Times New Roman" w:hAnsi="Arial" w:cs="Arial"/>
          <w:b/>
          <w:bCs/>
          <w:color w:val="000000"/>
          <w:sz w:val="36"/>
          <w:szCs w:val="36"/>
          <w:lang w:eastAsia="bg-BG"/>
        </w:rPr>
        <w:t>РЕШЕНИЕ</w:t>
      </w:r>
    </w:p>
    <w:p w:rsidR="006B4E52" w:rsidRPr="006B4E52" w:rsidRDefault="006B4E52" w:rsidP="006B4E52">
      <w:pPr>
        <w:widowControl/>
        <w:suppressAutoHyphens w:val="0"/>
        <w:spacing w:before="100" w:beforeAutospacing="1" w:after="100" w:afterAutospacing="1"/>
        <w:jc w:val="center"/>
        <w:rPr>
          <w:rFonts w:eastAsia="Times New Roman"/>
          <w:lang w:eastAsia="bg-BG"/>
        </w:rPr>
      </w:pPr>
      <w:r w:rsidRPr="006B4E52">
        <w:rPr>
          <w:rFonts w:ascii="Arial" w:eastAsia="Times New Roman" w:hAnsi="Arial" w:cs="Arial"/>
          <w:b/>
          <w:bCs/>
          <w:color w:val="000000"/>
          <w:sz w:val="28"/>
          <w:szCs w:val="28"/>
          <w:lang w:eastAsia="bg-BG"/>
        </w:rPr>
        <w:t>№ 925</w:t>
      </w:r>
    </w:p>
    <w:p w:rsidR="006B4E52" w:rsidRPr="006B4E52" w:rsidRDefault="006B4E52" w:rsidP="006B4E52">
      <w:pPr>
        <w:widowControl/>
        <w:suppressAutoHyphens w:val="0"/>
        <w:spacing w:before="100" w:beforeAutospacing="1" w:after="100" w:afterAutospacing="1"/>
        <w:jc w:val="center"/>
        <w:rPr>
          <w:rFonts w:eastAsia="Times New Roman"/>
          <w:lang w:eastAsia="bg-BG"/>
        </w:rPr>
      </w:pPr>
      <w:r w:rsidRPr="006B4E52">
        <w:rPr>
          <w:rFonts w:ascii="Arial" w:eastAsia="Times New Roman" w:hAnsi="Arial" w:cs="Arial"/>
          <w:b/>
          <w:bCs/>
          <w:color w:val="000000"/>
          <w:sz w:val="28"/>
          <w:szCs w:val="28"/>
          <w:lang w:eastAsia="bg-BG"/>
        </w:rPr>
        <w:t>Хасково, 27.11.2023 г.</w:t>
      </w:r>
    </w:p>
    <w:p w:rsidR="006B4E52" w:rsidRPr="006B4E52" w:rsidRDefault="006B4E52" w:rsidP="006B4E52">
      <w:pPr>
        <w:widowControl/>
        <w:suppressAutoHyphens w:val="0"/>
        <w:spacing w:before="100" w:beforeAutospacing="1" w:after="100" w:afterAutospacing="1"/>
        <w:jc w:val="center"/>
        <w:rPr>
          <w:rFonts w:eastAsia="Times New Roman"/>
          <w:lang w:eastAsia="bg-BG"/>
        </w:rPr>
      </w:pPr>
      <w:r w:rsidRPr="006B4E52">
        <w:rPr>
          <w:rFonts w:ascii="Arial" w:eastAsia="Times New Roman" w:hAnsi="Arial" w:cs="Arial"/>
          <w:b/>
          <w:bCs/>
          <w:color w:val="000000"/>
          <w:sz w:val="28"/>
          <w:szCs w:val="28"/>
          <w:lang w:eastAsia="bg-BG"/>
        </w:rPr>
        <w:t>В ИМЕТО НА НАРОДА</w:t>
      </w:r>
    </w:p>
    <w:p w:rsidR="006B4E52" w:rsidRPr="006B4E52" w:rsidRDefault="006B4E52" w:rsidP="006B4E52">
      <w:pPr>
        <w:widowControl/>
        <w:suppressAutoHyphens w:val="0"/>
        <w:spacing w:before="100" w:beforeAutospacing="1" w:after="100" w:afterAutospacing="1"/>
        <w:rPr>
          <w:rFonts w:eastAsia="Times New Roman"/>
          <w:lang w:eastAsia="bg-BG"/>
        </w:rPr>
      </w:pPr>
      <w:r w:rsidRPr="006B4E52">
        <w:rPr>
          <w:rFonts w:ascii="Arial" w:eastAsia="Times New Roman" w:hAnsi="Arial" w:cs="Arial"/>
          <w:b/>
          <w:bCs/>
          <w:color w:val="000000"/>
          <w:lang w:eastAsia="bg-BG"/>
        </w:rPr>
        <w:t>Административният съд - Хасково - III състав,</w:t>
      </w:r>
      <w:r w:rsidRPr="006B4E52">
        <w:rPr>
          <w:rFonts w:ascii="Arial" w:eastAsia="Times New Roman" w:hAnsi="Arial" w:cs="Arial"/>
          <w:color w:val="000000"/>
          <w:lang w:eastAsia="bg-BG"/>
        </w:rPr>
        <w:t xml:space="preserve"> в съдебно заседание на трети ноември две хиляди и двадесет и трета година в състав: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7"/>
        <w:gridCol w:w="4545"/>
      </w:tblGrid>
      <w:tr w:rsidR="006B4E52" w:rsidRPr="006B4E52" w:rsidTr="006B4E5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4E52" w:rsidRPr="006B4E52" w:rsidRDefault="006B4E52" w:rsidP="006B4E52">
            <w:pPr>
              <w:widowControl/>
              <w:suppressAutoHyphens w:val="0"/>
              <w:spacing w:before="600" w:after="600"/>
              <w:jc w:val="right"/>
              <w:rPr>
                <w:rFonts w:eastAsia="Times New Roman"/>
                <w:lang w:eastAsia="bg-BG"/>
              </w:rPr>
            </w:pPr>
            <w:r w:rsidRPr="006B4E52">
              <w:rPr>
                <w:rFonts w:ascii="Arial" w:eastAsia="Times New Roman" w:hAnsi="Arial" w:cs="Arial"/>
                <w:b/>
                <w:bCs/>
                <w:caps/>
                <w:color w:val="000000"/>
                <w:lang w:eastAsia="bg-BG"/>
              </w:rPr>
              <w:t xml:space="preserve">Съдия: </w:t>
            </w:r>
          </w:p>
        </w:tc>
        <w:tc>
          <w:tcPr>
            <w:tcW w:w="450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4E52" w:rsidRPr="006B4E52" w:rsidRDefault="006B4E52" w:rsidP="006B4E52">
            <w:pPr>
              <w:widowControl/>
              <w:suppressAutoHyphens w:val="0"/>
              <w:spacing w:before="600" w:after="600"/>
              <w:rPr>
                <w:rFonts w:eastAsia="Times New Roman"/>
                <w:lang w:eastAsia="bg-BG"/>
              </w:rPr>
            </w:pPr>
            <w:r w:rsidRPr="006B4E52">
              <w:rPr>
                <w:rFonts w:ascii="Arial" w:eastAsia="Times New Roman" w:hAnsi="Arial" w:cs="Arial"/>
                <w:caps/>
                <w:color w:val="000000"/>
                <w:lang w:eastAsia="bg-BG"/>
              </w:rPr>
              <w:t>ПЕНКА КОСТОВА</w:t>
            </w:r>
          </w:p>
        </w:tc>
      </w:tr>
      <w:tr w:rsidR="006B4E52" w:rsidRPr="006B4E52" w:rsidTr="006B4E5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4E52" w:rsidRPr="006B4E52" w:rsidRDefault="006B4E52" w:rsidP="006B4E52">
            <w:pPr>
              <w:widowControl/>
              <w:suppressAutoHyphens w:val="0"/>
              <w:rPr>
                <w:rFonts w:eastAsia="Times New Roman"/>
                <w:lang w:eastAsia="bg-BG"/>
              </w:rPr>
            </w:pPr>
          </w:p>
        </w:tc>
        <w:tc>
          <w:tcPr>
            <w:tcW w:w="450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4E52" w:rsidRPr="006B4E52" w:rsidRDefault="006B4E52" w:rsidP="006B4E52">
            <w:pPr>
              <w:widowControl/>
              <w:suppressAutoHyphens w:val="0"/>
              <w:rPr>
                <w:rFonts w:eastAsia="Times New Roman"/>
                <w:sz w:val="20"/>
                <w:szCs w:val="20"/>
                <w:lang w:eastAsia="bg-BG"/>
              </w:rPr>
            </w:pPr>
          </w:p>
        </w:tc>
      </w:tr>
    </w:tbl>
    <w:p w:rsidR="006B4E52" w:rsidRPr="006B4E52" w:rsidRDefault="006B4E52" w:rsidP="006B4E52">
      <w:pPr>
        <w:widowControl/>
        <w:suppressAutoHyphens w:val="0"/>
        <w:spacing w:before="100" w:beforeAutospacing="1" w:after="100" w:afterAutospacing="1"/>
        <w:jc w:val="both"/>
        <w:rPr>
          <w:rFonts w:eastAsia="Times New Roman"/>
          <w:lang w:eastAsia="bg-BG"/>
        </w:rPr>
      </w:pPr>
      <w:r w:rsidRPr="006B4E52">
        <w:rPr>
          <w:rFonts w:eastAsia="Times New Roman"/>
          <w:lang w:eastAsia="bg-BG"/>
        </w:rPr>
        <w:t>При секретар ГЕРГАНА ТЕНЕВА като разгледа докладваното от съдия ПЕНКА КОСТОВА административно дело № 20237260701103 / 2023 г., за да се произнесе взе предвид следното:</w:t>
      </w:r>
    </w:p>
    <w:p w:rsidR="006B4E52" w:rsidRPr="006B4E52" w:rsidRDefault="006B4E52" w:rsidP="006B4E52">
      <w:pPr>
        <w:widowControl/>
        <w:suppressAutoHyphens w:val="0"/>
        <w:spacing w:before="100" w:beforeAutospacing="1" w:after="100" w:afterAutospacing="1"/>
        <w:ind w:firstLine="990"/>
        <w:jc w:val="both"/>
        <w:rPr>
          <w:rFonts w:eastAsia="Times New Roman"/>
          <w:lang w:eastAsia="bg-BG"/>
        </w:rPr>
      </w:pPr>
      <w:r w:rsidRPr="006B4E52">
        <w:rPr>
          <w:rFonts w:eastAsia="Times New Roman"/>
          <w:color w:val="000000"/>
          <w:lang w:eastAsia="bg-BG"/>
        </w:rPr>
        <w:t xml:space="preserve">Производството е с правно основание </w:t>
      </w:r>
      <w:hyperlink r:id="rId4" w:history="1">
        <w:r w:rsidRPr="006B4E52">
          <w:rPr>
            <w:rFonts w:eastAsia="Times New Roman"/>
            <w:color w:val="000000"/>
            <w:u w:val="single"/>
            <w:lang w:eastAsia="bg-BG"/>
          </w:rPr>
          <w:t>чл. 145 и сл. от АПК</w:t>
        </w:r>
      </w:hyperlink>
      <w:r w:rsidRPr="006B4E52">
        <w:rPr>
          <w:rFonts w:eastAsia="Times New Roman"/>
          <w:color w:val="000000"/>
          <w:lang w:eastAsia="bg-BG"/>
        </w:rPr>
        <w:t xml:space="preserve"> във връзка с </w:t>
      </w:r>
      <w:hyperlink r:id="rId5" w:history="1">
        <w:r w:rsidRPr="006B4E52">
          <w:rPr>
            <w:rFonts w:eastAsia="Times New Roman"/>
            <w:color w:val="000000"/>
            <w:u w:val="single"/>
            <w:lang w:eastAsia="bg-BG"/>
          </w:rPr>
          <w:t>чл. 40 от ЗДОИ</w:t>
        </w:r>
      </w:hyperlink>
      <w:r w:rsidRPr="006B4E52">
        <w:rPr>
          <w:rFonts w:eastAsia="Times New Roman"/>
          <w:color w:val="000000"/>
          <w:lang w:eastAsia="bg-BG"/>
        </w:rPr>
        <w:t xml:space="preserve">. </w:t>
      </w:r>
    </w:p>
    <w:p w:rsidR="006B4E52" w:rsidRPr="006B4E52" w:rsidRDefault="006B4E52" w:rsidP="006B4E52">
      <w:pPr>
        <w:widowControl/>
        <w:suppressAutoHyphens w:val="0"/>
        <w:spacing w:before="100" w:beforeAutospacing="1" w:after="100" w:afterAutospacing="1"/>
        <w:ind w:firstLine="990"/>
        <w:jc w:val="both"/>
        <w:rPr>
          <w:rFonts w:eastAsia="Times New Roman"/>
          <w:lang w:eastAsia="bg-BG"/>
        </w:rPr>
      </w:pPr>
      <w:r w:rsidRPr="006B4E52">
        <w:rPr>
          <w:rFonts w:eastAsia="Times New Roman"/>
          <w:color w:val="000000"/>
          <w:lang w:eastAsia="bg-BG"/>
        </w:rPr>
        <w:t>Образувано е по жалба на И.И.П. ***, против мълчалив отказ на кмета на община Симеоновград да предостави достъп до обществена информация по заявление с вх. № С-4365/18.08.2023г.</w:t>
      </w:r>
    </w:p>
    <w:p w:rsidR="006B4E52" w:rsidRPr="006B4E52" w:rsidRDefault="006B4E52" w:rsidP="006B4E52">
      <w:pPr>
        <w:widowControl/>
        <w:suppressAutoHyphens w:val="0"/>
        <w:spacing w:before="100" w:beforeAutospacing="1" w:after="100" w:afterAutospacing="1"/>
        <w:ind w:firstLine="990"/>
        <w:jc w:val="both"/>
        <w:rPr>
          <w:rFonts w:eastAsia="Times New Roman"/>
          <w:lang w:eastAsia="bg-BG"/>
        </w:rPr>
      </w:pPr>
      <w:r w:rsidRPr="006B4E52">
        <w:rPr>
          <w:rFonts w:eastAsia="Times New Roman"/>
          <w:color w:val="000000"/>
          <w:lang w:eastAsia="bg-BG"/>
        </w:rPr>
        <w:t>Жалбоподателят сочи противоречие на процесуалния и материалния закон при формиране на мълчаливия отказ от страна на кмета на община Симеоновград и моли за неговата отмяна, съответно прави искане да му бъде предоставена исканата обществена информация. В съдебно заседание поддържа жалбата лично.</w:t>
      </w:r>
    </w:p>
    <w:p w:rsidR="006B4E52" w:rsidRPr="006B4E52" w:rsidRDefault="006B4E52" w:rsidP="006B4E52">
      <w:pPr>
        <w:widowControl/>
        <w:suppressAutoHyphens w:val="0"/>
        <w:spacing w:before="100" w:beforeAutospacing="1" w:after="100" w:afterAutospacing="1"/>
        <w:ind w:firstLine="990"/>
        <w:jc w:val="both"/>
        <w:rPr>
          <w:rFonts w:eastAsia="Times New Roman"/>
          <w:lang w:eastAsia="bg-BG"/>
        </w:rPr>
      </w:pPr>
      <w:r w:rsidRPr="006B4E52">
        <w:rPr>
          <w:rFonts w:eastAsia="Times New Roman"/>
          <w:color w:val="000000"/>
          <w:lang w:eastAsia="bg-BG"/>
        </w:rPr>
        <w:t xml:space="preserve">Ответникът – Кмет на община Симеоновград, редовно призован за съдебно заседание, не изпраща представител и не взема становище по жалбата. </w:t>
      </w:r>
    </w:p>
    <w:p w:rsidR="006B4E52" w:rsidRPr="006B4E52" w:rsidRDefault="006B4E52" w:rsidP="006B4E52">
      <w:pPr>
        <w:widowControl/>
        <w:suppressAutoHyphens w:val="0"/>
        <w:spacing w:before="100" w:beforeAutospacing="1" w:after="100" w:afterAutospacing="1"/>
        <w:ind w:firstLine="990"/>
        <w:jc w:val="both"/>
        <w:rPr>
          <w:rFonts w:eastAsia="Times New Roman"/>
          <w:lang w:eastAsia="bg-BG"/>
        </w:rPr>
      </w:pPr>
      <w:r w:rsidRPr="006B4E52">
        <w:rPr>
          <w:rFonts w:eastAsia="Times New Roman"/>
          <w:color w:val="000000"/>
          <w:lang w:eastAsia="bg-BG"/>
        </w:rPr>
        <w:t xml:space="preserve">За да се произнесе по жалбата Административен съд Хасково приема за установена следната фактическа обстановка: </w:t>
      </w:r>
    </w:p>
    <w:p w:rsidR="006B4E52" w:rsidRPr="006B4E52" w:rsidRDefault="006B4E52" w:rsidP="006B4E52">
      <w:pPr>
        <w:widowControl/>
        <w:suppressAutoHyphens w:val="0"/>
        <w:spacing w:before="100" w:beforeAutospacing="1" w:after="100" w:afterAutospacing="1"/>
        <w:ind w:firstLine="990"/>
        <w:jc w:val="both"/>
        <w:rPr>
          <w:rFonts w:eastAsia="Times New Roman"/>
          <w:lang w:eastAsia="bg-BG"/>
        </w:rPr>
      </w:pPr>
      <w:r w:rsidRPr="006B4E52">
        <w:rPr>
          <w:rFonts w:eastAsia="Times New Roman"/>
          <w:color w:val="000000"/>
          <w:lang w:eastAsia="bg-BG"/>
        </w:rPr>
        <w:t>Със заявление вх. № С-4365/18.08.2023г., адресирано до кмета на община Симеоновград жалбоподателят е поискал да му бъде предоставена следната информация: всички сключени през 2022г. граждански договори от община Симеоновград с поименно посочване на лицата, с които са сключени, за каква дейност и на каква стойност. Информацията е поискана под формата на писмена справка.</w:t>
      </w:r>
    </w:p>
    <w:p w:rsidR="006B4E52" w:rsidRPr="006B4E52" w:rsidRDefault="006B4E52" w:rsidP="006B4E52">
      <w:pPr>
        <w:widowControl/>
        <w:suppressAutoHyphens w:val="0"/>
        <w:spacing w:before="100" w:beforeAutospacing="1" w:after="100" w:afterAutospacing="1"/>
        <w:ind w:firstLine="990"/>
        <w:jc w:val="both"/>
        <w:rPr>
          <w:rFonts w:eastAsia="Times New Roman"/>
          <w:lang w:eastAsia="bg-BG"/>
        </w:rPr>
      </w:pPr>
      <w:r w:rsidRPr="006B4E52">
        <w:rPr>
          <w:rFonts w:eastAsia="Times New Roman"/>
          <w:color w:val="000000"/>
          <w:lang w:eastAsia="bg-BG"/>
        </w:rPr>
        <w:t xml:space="preserve">Не се спори по факта, че по поисканата обществена информация няма произнасяне от органа – кмет на община Симеоновград. </w:t>
      </w:r>
    </w:p>
    <w:p w:rsidR="006B4E52" w:rsidRPr="006B4E52" w:rsidRDefault="006B4E52" w:rsidP="006B4E52">
      <w:pPr>
        <w:widowControl/>
        <w:suppressAutoHyphens w:val="0"/>
        <w:spacing w:before="100" w:beforeAutospacing="1" w:after="100" w:afterAutospacing="1"/>
        <w:ind w:firstLine="990"/>
        <w:jc w:val="both"/>
        <w:rPr>
          <w:rFonts w:eastAsia="Times New Roman"/>
          <w:lang w:eastAsia="bg-BG"/>
        </w:rPr>
      </w:pPr>
      <w:r w:rsidRPr="006B4E52">
        <w:rPr>
          <w:rFonts w:eastAsia="Times New Roman"/>
          <w:color w:val="000000"/>
          <w:lang w:eastAsia="bg-BG"/>
        </w:rPr>
        <w:lastRenderedPageBreak/>
        <w:t xml:space="preserve">Жалбата срещу </w:t>
      </w:r>
      <w:r w:rsidRPr="006B4E52">
        <w:rPr>
          <w:rFonts w:eastAsia="Times New Roman"/>
          <w:color w:val="000000"/>
          <w:bdr w:val="none" w:sz="0" w:space="0" w:color="auto" w:frame="1"/>
          <w:shd w:val="clear" w:color="auto" w:fill="FFFFFF"/>
          <w:lang w:eastAsia="bg-BG"/>
        </w:rPr>
        <w:t>мълчаливия отказ</w:t>
      </w:r>
      <w:r w:rsidRPr="006B4E52">
        <w:rPr>
          <w:rFonts w:eastAsia="Times New Roman"/>
          <w:color w:val="000000"/>
          <w:lang w:eastAsia="bg-BG"/>
        </w:rPr>
        <w:t xml:space="preserve"> депозирана чрез община Симеоновград с рег. № Ж-12/19.09.2023г.</w:t>
      </w:r>
    </w:p>
    <w:p w:rsidR="006B4E52" w:rsidRPr="006B4E52" w:rsidRDefault="006B4E52" w:rsidP="006B4E52">
      <w:pPr>
        <w:widowControl/>
        <w:suppressAutoHyphens w:val="0"/>
        <w:spacing w:before="100" w:beforeAutospacing="1" w:after="100" w:afterAutospacing="1"/>
        <w:ind w:firstLine="990"/>
        <w:jc w:val="both"/>
        <w:rPr>
          <w:rFonts w:eastAsia="Times New Roman"/>
          <w:lang w:eastAsia="bg-BG"/>
        </w:rPr>
      </w:pPr>
      <w:r w:rsidRPr="006B4E52">
        <w:rPr>
          <w:rFonts w:eastAsia="Times New Roman"/>
          <w:color w:val="000000"/>
          <w:lang w:eastAsia="bg-BG"/>
        </w:rPr>
        <w:t>При така установената фактическа обстановка съдът приема, че жалбата е допустима, разгледана по същество е и основателна.</w:t>
      </w:r>
    </w:p>
    <w:p w:rsidR="006B4E52" w:rsidRPr="006B4E52" w:rsidRDefault="006B4E52" w:rsidP="006B4E52">
      <w:pPr>
        <w:widowControl/>
        <w:suppressAutoHyphens w:val="0"/>
        <w:spacing w:before="100" w:beforeAutospacing="1" w:after="100" w:afterAutospacing="1"/>
        <w:ind w:firstLine="990"/>
        <w:jc w:val="both"/>
        <w:rPr>
          <w:rFonts w:eastAsia="Times New Roman"/>
          <w:lang w:eastAsia="bg-BG"/>
        </w:rPr>
      </w:pPr>
      <w:r w:rsidRPr="006B4E52">
        <w:rPr>
          <w:rFonts w:eastAsia="Times New Roman"/>
          <w:color w:val="000000"/>
          <w:lang w:eastAsia="bg-BG"/>
        </w:rPr>
        <w:t xml:space="preserve">В разпоредбата на </w:t>
      </w:r>
      <w:hyperlink r:id="rId6" w:history="1">
        <w:r w:rsidRPr="006B4E52">
          <w:rPr>
            <w:rFonts w:eastAsia="Times New Roman"/>
            <w:color w:val="000000"/>
            <w:u w:val="single"/>
            <w:lang w:eastAsia="bg-BG"/>
          </w:rPr>
          <w:t>чл. 28, ал. 1 от ЗДОИ</w:t>
        </w:r>
      </w:hyperlink>
      <w:r w:rsidRPr="006B4E52">
        <w:rPr>
          <w:rFonts w:eastAsia="Times New Roman"/>
          <w:color w:val="000000"/>
          <w:lang w:eastAsia="bg-BG"/>
        </w:rPr>
        <w:t xml:space="preserve"> е предвидено, че заявленията за предоставяне на достъп до обществена информация се разглеждат във възможно най-кратък срок, но не по-късно от 14 дни след датата на регистриране. Няма данни за прилагане разпоредбите на </w:t>
      </w:r>
      <w:hyperlink r:id="rId7" w:history="1">
        <w:r w:rsidRPr="006B4E52">
          <w:rPr>
            <w:rFonts w:eastAsia="Times New Roman"/>
            <w:color w:val="000000"/>
            <w:u w:val="single"/>
            <w:lang w:eastAsia="bg-BG"/>
          </w:rPr>
          <w:t>чл. 29</w:t>
        </w:r>
      </w:hyperlink>
      <w:r w:rsidRPr="006B4E52">
        <w:rPr>
          <w:rFonts w:eastAsia="Times New Roman"/>
          <w:color w:val="000000"/>
          <w:lang w:eastAsia="bg-BG"/>
        </w:rPr>
        <w:t xml:space="preserve"> и </w:t>
      </w:r>
      <w:hyperlink r:id="rId8" w:history="1">
        <w:r w:rsidRPr="006B4E52">
          <w:rPr>
            <w:rFonts w:eastAsia="Times New Roman"/>
            <w:color w:val="000000"/>
            <w:u w:val="single"/>
            <w:lang w:eastAsia="bg-BG"/>
          </w:rPr>
          <w:t>чл. 30 от ЗДОИ</w:t>
        </w:r>
      </w:hyperlink>
      <w:r w:rsidRPr="006B4E52">
        <w:rPr>
          <w:rFonts w:eastAsia="Times New Roman"/>
          <w:color w:val="000000"/>
          <w:lang w:eastAsia="bg-BG"/>
        </w:rPr>
        <w:t xml:space="preserve">, поради което е било дължимо произнасяне с решение за предоставяне/ съответно – отказ за предоставяне на поисканата обществена информация. Заявлението е с дата 18.08.2023 г., срокът за произнасяне, съответно е изтекъл на 01.09.2023 г. Срокът за оспорване на </w:t>
      </w:r>
      <w:r w:rsidRPr="006B4E52">
        <w:rPr>
          <w:rFonts w:eastAsia="Times New Roman"/>
          <w:color w:val="000000"/>
          <w:bdr w:val="none" w:sz="0" w:space="0" w:color="auto" w:frame="1"/>
          <w:shd w:val="clear" w:color="auto" w:fill="FFFFFF"/>
          <w:lang w:eastAsia="bg-BG"/>
        </w:rPr>
        <w:t>мълчалив отказ</w:t>
      </w:r>
      <w:r w:rsidRPr="006B4E52">
        <w:rPr>
          <w:rFonts w:eastAsia="Times New Roman"/>
          <w:color w:val="000000"/>
          <w:lang w:eastAsia="bg-BG"/>
        </w:rPr>
        <w:t xml:space="preserve"> за предоставяне на обществена информация е едномесечен от изтичане на срока, в който административния орган е бил длъжен да се произнесе (</w:t>
      </w:r>
      <w:hyperlink r:id="rId9" w:history="1">
        <w:r w:rsidRPr="006B4E52">
          <w:rPr>
            <w:rFonts w:eastAsia="Times New Roman"/>
            <w:color w:val="000000"/>
            <w:u w:val="single"/>
            <w:lang w:eastAsia="bg-BG"/>
          </w:rPr>
          <w:t>чл. 149, ал. 2 от АПК</w:t>
        </w:r>
      </w:hyperlink>
      <w:r w:rsidRPr="006B4E52">
        <w:rPr>
          <w:rFonts w:eastAsia="Times New Roman"/>
          <w:color w:val="000000"/>
          <w:lang w:eastAsia="bg-BG"/>
        </w:rPr>
        <w:t>) и изтича на 01.10.2023 г. Жалбата е подадена на 19.09.2023 г., т.е. в срок.</w:t>
      </w:r>
    </w:p>
    <w:p w:rsidR="006B4E52" w:rsidRPr="006B4E52" w:rsidRDefault="006B4E52" w:rsidP="006B4E52">
      <w:pPr>
        <w:widowControl/>
        <w:suppressAutoHyphens w:val="0"/>
        <w:spacing w:before="100" w:beforeAutospacing="1" w:after="100" w:afterAutospacing="1"/>
        <w:ind w:firstLine="990"/>
        <w:jc w:val="both"/>
        <w:rPr>
          <w:rFonts w:eastAsia="Times New Roman"/>
          <w:lang w:eastAsia="bg-BG"/>
        </w:rPr>
      </w:pPr>
      <w:r w:rsidRPr="006B4E52">
        <w:rPr>
          <w:rFonts w:eastAsia="Times New Roman"/>
          <w:color w:val="000000"/>
          <w:lang w:eastAsia="bg-BG"/>
        </w:rPr>
        <w:t>От съдържанието на заявлението, с което е поискана обществена информация, е видно, че същата е поискана под формата на писмена справка, отразяваща всички сключени през 2022г. граждански договори от община Симеоновград с поименно посочване на лицата, с които са сключени, за каква дейност и на каква стойност.</w:t>
      </w:r>
      <w:r w:rsidR="00C927AB">
        <w:rPr>
          <w:rFonts w:eastAsia="Times New Roman"/>
          <w:color w:val="000000"/>
          <w:lang w:val="en-US" w:eastAsia="bg-BG"/>
        </w:rPr>
        <w:t xml:space="preserve"> </w:t>
      </w:r>
      <w:r w:rsidRPr="006B4E52">
        <w:rPr>
          <w:rFonts w:eastAsia="Times New Roman"/>
          <w:color w:val="000000"/>
          <w:lang w:eastAsia="bg-BG"/>
        </w:rPr>
        <w:t xml:space="preserve">Следователно ответникът е задължен субект по смисъла на </w:t>
      </w:r>
      <w:hyperlink r:id="rId10" w:history="1">
        <w:r w:rsidRPr="006B4E52">
          <w:rPr>
            <w:rFonts w:eastAsia="Times New Roman"/>
            <w:color w:val="000000"/>
            <w:u w:val="single"/>
            <w:lang w:eastAsia="bg-BG"/>
          </w:rPr>
          <w:t>чл. 3, ал. 2, т. 2 от ЗДОИ</w:t>
        </w:r>
      </w:hyperlink>
      <w:r w:rsidRPr="006B4E52">
        <w:rPr>
          <w:rFonts w:eastAsia="Times New Roman"/>
          <w:color w:val="000000"/>
          <w:lang w:eastAsia="bg-BG"/>
        </w:rPr>
        <w:t>.</w:t>
      </w:r>
    </w:p>
    <w:p w:rsidR="006B4E52" w:rsidRPr="006B4E52" w:rsidRDefault="006B4E52" w:rsidP="006B4E52">
      <w:pPr>
        <w:widowControl/>
        <w:suppressAutoHyphens w:val="0"/>
        <w:spacing w:before="100" w:beforeAutospacing="1" w:after="100" w:afterAutospacing="1"/>
        <w:ind w:firstLine="990"/>
        <w:jc w:val="both"/>
        <w:rPr>
          <w:rFonts w:eastAsia="Times New Roman"/>
          <w:lang w:eastAsia="bg-BG"/>
        </w:rPr>
      </w:pPr>
      <w:r w:rsidRPr="006B4E52">
        <w:rPr>
          <w:rFonts w:eastAsia="Times New Roman"/>
          <w:color w:val="000000"/>
          <w:lang w:eastAsia="bg-BG"/>
        </w:rPr>
        <w:t xml:space="preserve">Правото да се търси и получава информация е конституционно признато в </w:t>
      </w:r>
      <w:hyperlink r:id="rId11" w:history="1">
        <w:r w:rsidRPr="006B4E52">
          <w:rPr>
            <w:rFonts w:eastAsia="Times New Roman"/>
            <w:color w:val="000000"/>
            <w:u w:val="single"/>
            <w:lang w:eastAsia="bg-BG"/>
          </w:rPr>
          <w:t>чл. 41, ал. 1</w:t>
        </w:r>
      </w:hyperlink>
      <w:r w:rsidRPr="006B4E52">
        <w:rPr>
          <w:rFonts w:eastAsia="Times New Roman"/>
          <w:color w:val="000000"/>
          <w:lang w:eastAsia="bg-BG"/>
        </w:rPr>
        <w:t xml:space="preserve"> и </w:t>
      </w:r>
      <w:hyperlink r:id="rId12" w:history="1">
        <w:r w:rsidRPr="006B4E52">
          <w:rPr>
            <w:rFonts w:eastAsia="Times New Roman"/>
            <w:color w:val="000000"/>
            <w:u w:val="single"/>
            <w:lang w:eastAsia="bg-BG"/>
          </w:rPr>
          <w:t>ал. 2 от Конституцията на Република България</w:t>
        </w:r>
      </w:hyperlink>
      <w:r w:rsidRPr="006B4E52">
        <w:rPr>
          <w:rFonts w:eastAsia="Times New Roman"/>
          <w:color w:val="000000"/>
          <w:lang w:eastAsia="bg-BG"/>
        </w:rPr>
        <w:t>, като това право обхваща и корелативното задължение на държавните и общински органи да осигурят достъп до общественозначима</w:t>
      </w:r>
      <w:bookmarkStart w:id="0" w:name="_GoBack"/>
      <w:bookmarkEnd w:id="0"/>
      <w:r w:rsidRPr="006B4E52">
        <w:rPr>
          <w:rFonts w:eastAsia="Times New Roman"/>
          <w:color w:val="000000"/>
          <w:lang w:eastAsia="bg-BG"/>
        </w:rPr>
        <w:t xml:space="preserve"> информация, с изключение на нормативно уредените ограничения на правото. </w:t>
      </w:r>
      <w:hyperlink r:id="rId13" w:history="1">
        <w:r w:rsidRPr="006B4E52">
          <w:rPr>
            <w:rFonts w:eastAsia="Times New Roman"/>
            <w:color w:val="000000"/>
            <w:u w:val="single"/>
            <w:lang w:eastAsia="bg-BG"/>
          </w:rPr>
          <w:t>Законът за достъп до обществена информация</w:t>
        </w:r>
      </w:hyperlink>
      <w:r w:rsidRPr="006B4E52">
        <w:rPr>
          <w:rFonts w:eastAsia="Times New Roman"/>
          <w:color w:val="000000"/>
          <w:lang w:eastAsia="bg-BG"/>
        </w:rPr>
        <w:t xml:space="preserve"> (ЗДОИ, обн., ДВ, бр. 55 от 07.07.2000 г.) е общ закон, който транспонира във вътрешното законодателство </w:t>
      </w:r>
      <w:hyperlink r:id="rId14" w:history="1">
        <w:r w:rsidRPr="006B4E52">
          <w:rPr>
            <w:rFonts w:eastAsia="Times New Roman"/>
            <w:color w:val="000000"/>
            <w:u w:val="single"/>
            <w:lang w:eastAsia="bg-BG"/>
          </w:rPr>
          <w:t>Директива 2003/98/ЕО</w:t>
        </w:r>
      </w:hyperlink>
      <w:r w:rsidRPr="006B4E52">
        <w:rPr>
          <w:rFonts w:eastAsia="Times New Roman"/>
          <w:color w:val="000000"/>
          <w:lang w:eastAsia="bg-BG"/>
        </w:rPr>
        <w:t xml:space="preserve"> на Европейския парламент и Съвета относно повторното ползване на информация в обществения сектор (</w:t>
      </w:r>
      <w:hyperlink r:id="rId15" w:history="1">
        <w:r w:rsidRPr="006B4E52">
          <w:rPr>
            <w:rFonts w:eastAsia="Times New Roman"/>
            <w:color w:val="000000"/>
            <w:u w:val="single"/>
            <w:lang w:eastAsia="bg-BG"/>
          </w:rPr>
          <w:t>§ 16 ПЗР на ЗДОИ</w:t>
        </w:r>
      </w:hyperlink>
      <w:r w:rsidRPr="006B4E52">
        <w:rPr>
          <w:rFonts w:eastAsia="Times New Roman"/>
          <w:color w:val="000000"/>
          <w:lang w:eastAsia="bg-BG"/>
        </w:rPr>
        <w:t>). Основна характеристика на обществената информация е възможността чрез нея да може да бъде създадено собствено мнение на заявителя относно дейността на задължените субекти. Последните са лицата, които са задължени да осигурят достъпа до обществена информация, а информацията, чието предоставяне е поискано, следва да е свързана с дейността именно на община Симеоновград, като задължен по ЗДОИ субект. Ето защо, за да се приеме, че информацията, до която е поискан достъп, е обществена информация по смисъла на ЗДОИ, тя трябва да е свързана с дейността на органа, от когото е поискана, т. е. да се съдържа в издаден от него акт (официална обществена информация) или да е събрана, създадена или съхранявана във връзка с официалната информация (служебна обществена информация), като тези предпоставки са дадени кумулативно.</w:t>
      </w:r>
    </w:p>
    <w:p w:rsidR="006B4E52" w:rsidRPr="006B4E52" w:rsidRDefault="006B4E52" w:rsidP="006B4E52">
      <w:pPr>
        <w:widowControl/>
        <w:suppressAutoHyphens w:val="0"/>
        <w:spacing w:before="100" w:beforeAutospacing="1" w:after="100" w:afterAutospacing="1"/>
        <w:ind w:firstLine="990"/>
        <w:jc w:val="both"/>
        <w:rPr>
          <w:rFonts w:eastAsia="Times New Roman"/>
          <w:lang w:eastAsia="bg-BG"/>
        </w:rPr>
      </w:pPr>
      <w:r w:rsidRPr="006B4E52">
        <w:rPr>
          <w:rFonts w:eastAsia="Times New Roman"/>
          <w:color w:val="000000"/>
          <w:lang w:eastAsia="bg-BG"/>
        </w:rPr>
        <w:t xml:space="preserve">В </w:t>
      </w:r>
      <w:hyperlink r:id="rId16" w:history="1">
        <w:r w:rsidRPr="006B4E52">
          <w:rPr>
            <w:rFonts w:eastAsia="Times New Roman"/>
            <w:color w:val="000000"/>
            <w:u w:val="single"/>
            <w:lang w:eastAsia="bg-BG"/>
          </w:rPr>
          <w:t>Раздел ІІ на ЗДОИ</w:t>
        </w:r>
      </w:hyperlink>
      <w:r w:rsidRPr="006B4E52">
        <w:rPr>
          <w:rFonts w:eastAsia="Times New Roman"/>
          <w:color w:val="000000"/>
          <w:lang w:eastAsia="bg-BG"/>
        </w:rPr>
        <w:t xml:space="preserve"> е установен реда за разглеждане на заявленията и предоставяне на достъп до обществена информация. Съобразно </w:t>
      </w:r>
      <w:hyperlink r:id="rId17" w:history="1">
        <w:r w:rsidRPr="006B4E52">
          <w:rPr>
            <w:rFonts w:eastAsia="Times New Roman"/>
            <w:color w:val="000000"/>
            <w:u w:val="single"/>
            <w:lang w:eastAsia="bg-BG"/>
          </w:rPr>
          <w:t>чл. 28, ал. 1 от ЗДОИ</w:t>
        </w:r>
      </w:hyperlink>
      <w:r w:rsidRPr="006B4E52">
        <w:rPr>
          <w:rFonts w:eastAsia="Times New Roman"/>
          <w:color w:val="000000"/>
          <w:lang w:eastAsia="bg-BG"/>
        </w:rPr>
        <w:t xml:space="preserve">: Заявленията за предоставяне на достъп до обществена информация се разглеждат във възможно най-кратък срок, но не по-късно от 14 дни след датата на регистриране. В ал. 2 на с. з. в срока по ал. 1 органите или изрично определени от тях лица вземат решение за предоставяне или за отказ от предоставяне на достъп до исканата обществена информация и уведомяват писмено заявителя за своето решение. </w:t>
      </w:r>
    </w:p>
    <w:p w:rsidR="006B4E52" w:rsidRPr="006B4E52" w:rsidRDefault="006B4E52" w:rsidP="006B4E52">
      <w:pPr>
        <w:widowControl/>
        <w:suppressAutoHyphens w:val="0"/>
        <w:spacing w:before="100" w:beforeAutospacing="1" w:after="100" w:afterAutospacing="1"/>
        <w:ind w:firstLine="990"/>
        <w:jc w:val="both"/>
        <w:rPr>
          <w:rFonts w:eastAsia="Times New Roman"/>
          <w:lang w:eastAsia="bg-BG"/>
        </w:rPr>
      </w:pPr>
      <w:r w:rsidRPr="006B4E52">
        <w:rPr>
          <w:rFonts w:eastAsia="Times New Roman"/>
          <w:color w:val="000000"/>
          <w:lang w:eastAsia="bg-BG"/>
        </w:rPr>
        <w:lastRenderedPageBreak/>
        <w:t xml:space="preserve">Съответно редът и условията за предоставяне на достъп до обществена информация са подробно регламентирани в </w:t>
      </w:r>
      <w:hyperlink r:id="rId18" w:history="1">
        <w:r w:rsidRPr="006B4E52">
          <w:rPr>
            <w:rFonts w:eastAsia="Times New Roman"/>
            <w:color w:val="000000"/>
            <w:u w:val="single"/>
            <w:lang w:eastAsia="bg-BG"/>
          </w:rPr>
          <w:t>Глава трета на ЗДОИ</w:t>
        </w:r>
      </w:hyperlink>
      <w:r w:rsidRPr="006B4E52">
        <w:rPr>
          <w:rFonts w:eastAsia="Times New Roman"/>
          <w:color w:val="000000"/>
          <w:lang w:eastAsia="bg-BG"/>
        </w:rPr>
        <w:t xml:space="preserve">. Разпоредбата на </w:t>
      </w:r>
      <w:hyperlink r:id="rId19" w:history="1">
        <w:r w:rsidRPr="006B4E52">
          <w:rPr>
            <w:rFonts w:eastAsia="Times New Roman"/>
            <w:color w:val="000000"/>
            <w:u w:val="single"/>
            <w:lang w:eastAsia="bg-BG"/>
          </w:rPr>
          <w:t>чл. 28, ал. 2 от ЗДОИ</w:t>
        </w:r>
      </w:hyperlink>
      <w:r w:rsidRPr="006B4E52">
        <w:rPr>
          <w:rFonts w:eastAsia="Times New Roman"/>
          <w:color w:val="000000"/>
          <w:lang w:eastAsia="bg-BG"/>
        </w:rPr>
        <w:t xml:space="preserve"> задължава органите или изрично определените от тях лица, да се произнесат с решение за предоставяне или за отказ от предоставяне на достъп до исканата обществена информация и уведомят писмено заявителя за своето решение. Следователно, единствената призната от закона възможност за процедиране по заявление за достъп до обществена информация е задълженият субект да постанови изричен акт – решение за предоставяне или за отказ от предоставяне на достъп до исканата информация. Изискването за писмено мотивирано произнасяне е гаранция за законосъобразност на акта. Неспазването на формата, в която следва да се произнесе задължения субект е достатъчно основание за отмяната на оспорения акт. Задължените субекти по ЗДОИ са длъжни винаги да се произнесат по подадените до тях заявления, включително да искат уточнения и прецизиране на същите, ако считат, че са нередовно направени (</w:t>
      </w:r>
      <w:hyperlink r:id="rId20" w:history="1">
        <w:r w:rsidRPr="006B4E52">
          <w:rPr>
            <w:rFonts w:eastAsia="Times New Roman"/>
            <w:color w:val="000000"/>
            <w:u w:val="single"/>
            <w:lang w:eastAsia="bg-BG"/>
          </w:rPr>
          <w:t>чл. 29, ал. 1 от ЗДОИ</w:t>
        </w:r>
      </w:hyperlink>
      <w:r w:rsidRPr="006B4E52">
        <w:rPr>
          <w:rFonts w:eastAsia="Times New Roman"/>
          <w:color w:val="000000"/>
          <w:lang w:eastAsia="bg-BG"/>
        </w:rPr>
        <w:t xml:space="preserve">), съответно – да мотивират отказа при преценка на основания за това. В случая акт не е постановен и производството по подаденото заявление по ЗДОИ не е прекратено. При липсата на волеизявление за оставяне на заявлението без разглеждане, се дължи произнасяне по същество, а непроизнасянето в срок формира </w:t>
      </w:r>
      <w:r w:rsidRPr="006B4E52">
        <w:rPr>
          <w:rFonts w:eastAsia="Times New Roman"/>
          <w:color w:val="000000"/>
          <w:bdr w:val="none" w:sz="0" w:space="0" w:color="auto" w:frame="1"/>
          <w:shd w:val="clear" w:color="auto" w:fill="FFFFFF"/>
          <w:lang w:eastAsia="bg-BG"/>
        </w:rPr>
        <w:t>мълчалив отказ</w:t>
      </w:r>
      <w:r w:rsidRPr="006B4E52">
        <w:rPr>
          <w:rFonts w:eastAsia="Times New Roman"/>
          <w:color w:val="000000"/>
          <w:lang w:eastAsia="bg-BG"/>
        </w:rPr>
        <w:t xml:space="preserve"> по смисъла на </w:t>
      </w:r>
      <w:hyperlink r:id="rId21" w:history="1">
        <w:r w:rsidRPr="006B4E52">
          <w:rPr>
            <w:rFonts w:eastAsia="Times New Roman"/>
            <w:color w:val="000000"/>
            <w:u w:val="single"/>
            <w:lang w:eastAsia="bg-BG"/>
          </w:rPr>
          <w:t>чл. 58, ал. 1 от АПК</w:t>
        </w:r>
      </w:hyperlink>
      <w:r w:rsidRPr="006B4E52">
        <w:rPr>
          <w:rFonts w:eastAsia="Times New Roman"/>
          <w:color w:val="000000"/>
          <w:lang w:eastAsia="bg-BG"/>
        </w:rPr>
        <w:t>, който подлежи на съдебно оспорване по реда на АПК.</w:t>
      </w:r>
    </w:p>
    <w:p w:rsidR="006B4E52" w:rsidRPr="006B4E52" w:rsidRDefault="006B4E52" w:rsidP="006B4E52">
      <w:pPr>
        <w:widowControl/>
        <w:suppressAutoHyphens w:val="0"/>
        <w:spacing w:before="100" w:beforeAutospacing="1" w:after="100" w:afterAutospacing="1"/>
        <w:ind w:firstLine="990"/>
        <w:jc w:val="both"/>
        <w:rPr>
          <w:rFonts w:eastAsia="Times New Roman"/>
          <w:lang w:eastAsia="bg-BG"/>
        </w:rPr>
      </w:pPr>
      <w:r w:rsidRPr="006B4E52">
        <w:rPr>
          <w:rFonts w:eastAsia="Times New Roman"/>
          <w:color w:val="000000"/>
          <w:lang w:eastAsia="bg-BG"/>
        </w:rPr>
        <w:t xml:space="preserve">При отправено заявление, което отговаря на изискванията на </w:t>
      </w:r>
      <w:hyperlink r:id="rId22" w:history="1">
        <w:r w:rsidRPr="006B4E52">
          <w:rPr>
            <w:rFonts w:eastAsia="Times New Roman"/>
            <w:color w:val="000000"/>
            <w:u w:val="single"/>
            <w:lang w:eastAsia="bg-BG"/>
          </w:rPr>
          <w:t>чл. 25, ал. 1 от ЗДОИ</w:t>
        </w:r>
      </w:hyperlink>
      <w:r w:rsidRPr="006B4E52">
        <w:rPr>
          <w:rFonts w:eastAsia="Times New Roman"/>
          <w:color w:val="000000"/>
          <w:lang w:eastAsia="bg-BG"/>
        </w:rPr>
        <w:t xml:space="preserve">, задълженият субект по </w:t>
      </w:r>
      <w:hyperlink r:id="rId23" w:history="1">
        <w:r w:rsidRPr="006B4E52">
          <w:rPr>
            <w:rFonts w:eastAsia="Times New Roman"/>
            <w:color w:val="000000"/>
            <w:u w:val="single"/>
            <w:lang w:eastAsia="bg-BG"/>
          </w:rPr>
          <w:t>чл. 3 от ЗДОИ</w:t>
        </w:r>
      </w:hyperlink>
      <w:r w:rsidRPr="006B4E52">
        <w:rPr>
          <w:rFonts w:eastAsia="Times New Roman"/>
          <w:color w:val="000000"/>
          <w:lang w:eastAsia="bg-BG"/>
        </w:rPr>
        <w:t xml:space="preserve"> дължи произнасяне с мотивирано решение, както когато удовлетворява искането (</w:t>
      </w:r>
      <w:hyperlink r:id="rId24" w:history="1">
        <w:r w:rsidRPr="006B4E52">
          <w:rPr>
            <w:rFonts w:eastAsia="Times New Roman"/>
            <w:color w:val="000000"/>
            <w:u w:val="single"/>
            <w:lang w:eastAsia="bg-BG"/>
          </w:rPr>
          <w:t>чл. 28, ал. 2</w:t>
        </w:r>
      </w:hyperlink>
      <w:r w:rsidRPr="006B4E52">
        <w:rPr>
          <w:rFonts w:eastAsia="Times New Roman"/>
          <w:color w:val="000000"/>
          <w:lang w:eastAsia="bg-BG"/>
        </w:rPr>
        <w:t xml:space="preserve">, вр. с </w:t>
      </w:r>
      <w:hyperlink r:id="rId25" w:history="1">
        <w:r w:rsidRPr="006B4E52">
          <w:rPr>
            <w:rFonts w:eastAsia="Times New Roman"/>
            <w:color w:val="000000"/>
            <w:u w:val="single"/>
            <w:lang w:eastAsia="bg-BG"/>
          </w:rPr>
          <w:t>чл. 34 от ЗДОИ</w:t>
        </w:r>
      </w:hyperlink>
      <w:r w:rsidRPr="006B4E52">
        <w:rPr>
          <w:rFonts w:eastAsia="Times New Roman"/>
          <w:color w:val="000000"/>
          <w:lang w:eastAsia="bg-BG"/>
        </w:rPr>
        <w:t>), така и когато отказва да предостави информация (</w:t>
      </w:r>
      <w:hyperlink r:id="rId26" w:history="1">
        <w:r w:rsidRPr="006B4E52">
          <w:rPr>
            <w:rFonts w:eastAsia="Times New Roman"/>
            <w:color w:val="000000"/>
            <w:u w:val="single"/>
            <w:lang w:eastAsia="bg-BG"/>
          </w:rPr>
          <w:t>чл. 38 от ЗДОИ</w:t>
        </w:r>
      </w:hyperlink>
      <w:r w:rsidRPr="006B4E52">
        <w:rPr>
          <w:rFonts w:eastAsia="Times New Roman"/>
          <w:color w:val="000000"/>
          <w:lang w:eastAsia="bg-BG"/>
        </w:rPr>
        <w:t xml:space="preserve">). В случая липсва произнасяне по заявлението, което бездействие представлява </w:t>
      </w:r>
      <w:r w:rsidRPr="006B4E52">
        <w:rPr>
          <w:rFonts w:eastAsia="Times New Roman"/>
          <w:color w:val="000000"/>
          <w:bdr w:val="none" w:sz="0" w:space="0" w:color="auto" w:frame="1"/>
          <w:shd w:val="clear" w:color="auto" w:fill="FFFFFF"/>
          <w:lang w:eastAsia="bg-BG"/>
        </w:rPr>
        <w:t>мълчалив отказ</w:t>
      </w:r>
      <w:r w:rsidRPr="006B4E52">
        <w:rPr>
          <w:rFonts w:eastAsia="Times New Roman"/>
          <w:color w:val="000000"/>
          <w:lang w:eastAsia="bg-BG"/>
        </w:rPr>
        <w:t xml:space="preserve"> по смисъла на 58, </w:t>
      </w:r>
      <w:hyperlink r:id="rId27" w:history="1">
        <w:r w:rsidRPr="006B4E52">
          <w:rPr>
            <w:rFonts w:eastAsia="Times New Roman"/>
            <w:color w:val="000000"/>
            <w:u w:val="single"/>
            <w:lang w:eastAsia="bg-BG"/>
          </w:rPr>
          <w:t>ал. 1 от АПК</w:t>
        </w:r>
      </w:hyperlink>
      <w:r w:rsidRPr="006B4E52">
        <w:rPr>
          <w:rFonts w:eastAsia="Times New Roman"/>
          <w:color w:val="000000"/>
          <w:lang w:eastAsia="bg-BG"/>
        </w:rPr>
        <w:t xml:space="preserve">, който е в противоречие с разпоредбите на </w:t>
      </w:r>
      <w:hyperlink r:id="rId28" w:history="1">
        <w:r w:rsidRPr="006B4E52">
          <w:rPr>
            <w:rFonts w:eastAsia="Times New Roman"/>
            <w:color w:val="000000"/>
            <w:u w:val="single"/>
            <w:lang w:eastAsia="bg-BG"/>
          </w:rPr>
          <w:t>чл. 28, ал. 2</w:t>
        </w:r>
      </w:hyperlink>
      <w:r w:rsidRPr="006B4E52">
        <w:rPr>
          <w:rFonts w:eastAsia="Times New Roman"/>
          <w:color w:val="000000"/>
          <w:lang w:eastAsia="bg-BG"/>
        </w:rPr>
        <w:t xml:space="preserve"> и </w:t>
      </w:r>
      <w:hyperlink r:id="rId29" w:history="1">
        <w:r w:rsidRPr="006B4E52">
          <w:rPr>
            <w:rFonts w:eastAsia="Times New Roman"/>
            <w:color w:val="000000"/>
            <w:u w:val="single"/>
            <w:lang w:eastAsia="bg-BG"/>
          </w:rPr>
          <w:t>чл. 38 от ЗДОИ</w:t>
        </w:r>
      </w:hyperlink>
      <w:r w:rsidRPr="006B4E52">
        <w:rPr>
          <w:rFonts w:eastAsia="Times New Roman"/>
          <w:color w:val="000000"/>
          <w:lang w:eastAsia="bg-BG"/>
        </w:rPr>
        <w:t xml:space="preserve"> и на това основание подлежи на отмяна. </w:t>
      </w:r>
      <w:r w:rsidRPr="006B4E52">
        <w:rPr>
          <w:rFonts w:eastAsia="Times New Roman"/>
          <w:color w:val="000000"/>
          <w:bdr w:val="none" w:sz="0" w:space="0" w:color="auto" w:frame="1"/>
          <w:shd w:val="clear" w:color="auto" w:fill="FFFFFF"/>
          <w:lang w:eastAsia="bg-BG"/>
        </w:rPr>
        <w:t>Мълчалив отказ</w:t>
      </w:r>
      <w:r w:rsidRPr="006B4E52">
        <w:rPr>
          <w:rFonts w:eastAsia="Times New Roman"/>
          <w:color w:val="000000"/>
          <w:lang w:eastAsia="bg-BG"/>
        </w:rPr>
        <w:t xml:space="preserve"> в производството по ЗДОИ е недопустим, поради което само на това основание оспореният акт следва да бъде отменен. Това е така, тъй като специален закон, ЗДОИ, дерогира нормите на общия такъв АПК и в частност – на чл. 27, ал. 2, т. 1 от него. </w:t>
      </w:r>
    </w:p>
    <w:p w:rsidR="006B4E52" w:rsidRPr="006B4E52" w:rsidRDefault="006B4E52" w:rsidP="006B4E52">
      <w:pPr>
        <w:widowControl/>
        <w:suppressAutoHyphens w:val="0"/>
        <w:spacing w:before="100" w:beforeAutospacing="1" w:after="100" w:afterAutospacing="1"/>
        <w:ind w:firstLine="990"/>
        <w:jc w:val="both"/>
        <w:rPr>
          <w:rFonts w:eastAsia="Times New Roman"/>
          <w:lang w:eastAsia="bg-BG"/>
        </w:rPr>
      </w:pPr>
      <w:r w:rsidRPr="006B4E52">
        <w:rPr>
          <w:rFonts w:eastAsia="Times New Roman"/>
          <w:color w:val="000000"/>
          <w:lang w:eastAsia="bg-BG"/>
        </w:rPr>
        <w:t xml:space="preserve">На следващо място, съгласно </w:t>
      </w:r>
      <w:hyperlink r:id="rId30" w:history="1">
        <w:r w:rsidRPr="006B4E52">
          <w:rPr>
            <w:rFonts w:eastAsia="Times New Roman"/>
            <w:color w:val="000000"/>
            <w:u w:val="single"/>
            <w:lang w:eastAsia="bg-BG"/>
          </w:rPr>
          <w:t>чл. 30 ЗДОИ</w:t>
        </w:r>
      </w:hyperlink>
      <w:r w:rsidRPr="006B4E52">
        <w:rPr>
          <w:rFonts w:eastAsia="Times New Roman"/>
          <w:color w:val="000000"/>
          <w:lang w:eastAsia="bg-BG"/>
        </w:rPr>
        <w:t xml:space="preserve"> е допустимо срокът по чл. 28, ал. 1 да бъде удължен, но с не повече от 10 дни, когато поисканата в заявлението информация е в голямо количество и е необходимо допълнително време за нейната подготовка. Това обаче не настъпва по право, а задължително следва да бъде направено с изричен акт на ответника, изпратен на заявителя. Това задължение за уведомяване на заявителя за удължения срок за произнасяне, произтича от разпоредбата на </w:t>
      </w:r>
      <w:hyperlink r:id="rId31" w:history="1">
        <w:r w:rsidRPr="006B4E52">
          <w:rPr>
            <w:rFonts w:eastAsia="Times New Roman"/>
            <w:color w:val="000000"/>
            <w:u w:val="single"/>
            <w:lang w:eastAsia="bg-BG"/>
          </w:rPr>
          <w:t>чл. 30, ал. 2 ЗДОИ</w:t>
        </w:r>
      </w:hyperlink>
      <w:r w:rsidRPr="006B4E52">
        <w:rPr>
          <w:rFonts w:eastAsia="Times New Roman"/>
          <w:color w:val="000000"/>
          <w:lang w:eastAsia="bg-BG"/>
        </w:rPr>
        <w:t xml:space="preserve">, която сочи, че в уведомлението по чл. 29, ал. 1 се посочват причините за удължаване на срока, в който ще бъде предоставен достъп до исканата обществена информация. В конкретния случай по делото не са предоставени доказателства, срокът да е удължен, за което заявителят да бъде уведомен. </w:t>
      </w:r>
    </w:p>
    <w:p w:rsidR="006B4E52" w:rsidRPr="006B4E52" w:rsidRDefault="006B4E52" w:rsidP="006B4E52">
      <w:pPr>
        <w:widowControl/>
        <w:suppressAutoHyphens w:val="0"/>
        <w:spacing w:before="100" w:beforeAutospacing="1" w:after="100" w:afterAutospacing="1"/>
        <w:ind w:firstLine="990"/>
        <w:jc w:val="both"/>
        <w:rPr>
          <w:rFonts w:eastAsia="Times New Roman"/>
          <w:lang w:eastAsia="bg-BG"/>
        </w:rPr>
      </w:pPr>
      <w:r w:rsidRPr="006B4E52">
        <w:rPr>
          <w:rFonts w:eastAsia="Times New Roman"/>
          <w:color w:val="000000"/>
          <w:lang w:eastAsia="bg-BG"/>
        </w:rPr>
        <w:t xml:space="preserve">Поради изложените мотиви </w:t>
      </w:r>
      <w:r w:rsidRPr="006B4E52">
        <w:rPr>
          <w:rFonts w:eastAsia="Times New Roman"/>
          <w:color w:val="000000"/>
          <w:bdr w:val="none" w:sz="0" w:space="0" w:color="auto" w:frame="1"/>
          <w:shd w:val="clear" w:color="auto" w:fill="FFFFFF"/>
          <w:lang w:eastAsia="bg-BG"/>
        </w:rPr>
        <w:t>мълчаливият отказ</w:t>
      </w:r>
      <w:r w:rsidRPr="006B4E52">
        <w:rPr>
          <w:rFonts w:eastAsia="Times New Roman"/>
          <w:color w:val="000000"/>
          <w:lang w:eastAsia="bg-BG"/>
        </w:rPr>
        <w:t xml:space="preserve"> за предоставяне на обществена информация следва да бъде отменен. Тъй като издаването на решение по ЗДОИ изисква оценка от страна на задължения субект по </w:t>
      </w:r>
      <w:hyperlink r:id="rId32" w:history="1">
        <w:r w:rsidRPr="006B4E52">
          <w:rPr>
            <w:rFonts w:eastAsia="Times New Roman"/>
            <w:color w:val="000000"/>
            <w:u w:val="single"/>
            <w:lang w:eastAsia="bg-BG"/>
          </w:rPr>
          <w:t>чл. 3 от ЗДОИ</w:t>
        </w:r>
      </w:hyperlink>
      <w:r w:rsidRPr="006B4E52">
        <w:rPr>
          <w:rFonts w:eastAsia="Times New Roman"/>
          <w:color w:val="000000"/>
          <w:lang w:eastAsia="bg-BG"/>
        </w:rPr>
        <w:t xml:space="preserve">, включително и на обстоятелствата, представляващи основание за отказ за предоставяне на информация, делото следва да бъде върнато на ответника за произнасяне по същество. След преценка на вида и характера на исканата информация, и на реда, по който тя може да се предостави, задълженият субект следва да постанови писмено мотивирано решение по заявлението, с което да предостави или да откаже да предостави исканата информация, </w:t>
      </w:r>
      <w:r w:rsidRPr="006B4E52">
        <w:rPr>
          <w:rFonts w:eastAsia="Times New Roman"/>
          <w:color w:val="000000"/>
          <w:lang w:eastAsia="bg-BG"/>
        </w:rPr>
        <w:lastRenderedPageBreak/>
        <w:t xml:space="preserve">ако са налице законови пречки за това, включително и тези, посочени в </w:t>
      </w:r>
      <w:hyperlink r:id="rId33" w:history="1">
        <w:r w:rsidRPr="006B4E52">
          <w:rPr>
            <w:rFonts w:eastAsia="Times New Roman"/>
            <w:color w:val="000000"/>
            <w:u w:val="single"/>
            <w:lang w:eastAsia="bg-BG"/>
          </w:rPr>
          <w:t>чл. 37, ал. 1 от ЗДОИ</w:t>
        </w:r>
      </w:hyperlink>
      <w:r w:rsidRPr="006B4E52">
        <w:rPr>
          <w:rFonts w:eastAsia="Times New Roman"/>
          <w:color w:val="000000"/>
          <w:lang w:eastAsia="bg-BG"/>
        </w:rPr>
        <w:t xml:space="preserve">. </w:t>
      </w:r>
    </w:p>
    <w:p w:rsidR="006B4E52" w:rsidRPr="006B4E52" w:rsidRDefault="006B4E52" w:rsidP="006B4E52">
      <w:pPr>
        <w:widowControl/>
        <w:suppressAutoHyphens w:val="0"/>
        <w:spacing w:before="100" w:beforeAutospacing="1" w:after="100" w:afterAutospacing="1"/>
        <w:ind w:firstLine="990"/>
        <w:jc w:val="both"/>
        <w:rPr>
          <w:rFonts w:eastAsia="Times New Roman"/>
          <w:lang w:eastAsia="bg-BG"/>
        </w:rPr>
      </w:pPr>
      <w:r w:rsidRPr="006B4E52">
        <w:rPr>
          <w:rFonts w:eastAsia="Times New Roman"/>
          <w:color w:val="000000"/>
          <w:lang w:eastAsia="bg-BG"/>
        </w:rPr>
        <w:t xml:space="preserve">При този изход на делото в полза на жалбоподателя се дължат разноски в размер на 10.00 лева – платена държавна такса за образуване на делото, платими от ответника в настоящото производство. </w:t>
      </w:r>
    </w:p>
    <w:p w:rsidR="006B4E52" w:rsidRPr="006B4E52" w:rsidRDefault="006B4E52" w:rsidP="006B4E52">
      <w:pPr>
        <w:widowControl/>
        <w:suppressAutoHyphens w:val="0"/>
        <w:spacing w:before="100" w:beforeAutospacing="1" w:after="100" w:afterAutospacing="1"/>
        <w:ind w:firstLine="990"/>
        <w:jc w:val="both"/>
        <w:rPr>
          <w:rFonts w:eastAsia="Times New Roman"/>
          <w:lang w:eastAsia="bg-BG"/>
        </w:rPr>
      </w:pPr>
      <w:r w:rsidRPr="006B4E52">
        <w:rPr>
          <w:rFonts w:eastAsia="Times New Roman"/>
          <w:color w:val="000000"/>
          <w:lang w:eastAsia="bg-BG"/>
        </w:rPr>
        <w:t xml:space="preserve">Водим от горното и на основание </w:t>
      </w:r>
      <w:hyperlink r:id="rId34" w:history="1">
        <w:r w:rsidRPr="006B4E52">
          <w:rPr>
            <w:rFonts w:eastAsia="Times New Roman"/>
            <w:color w:val="000000"/>
            <w:u w:val="single"/>
            <w:lang w:eastAsia="bg-BG"/>
          </w:rPr>
          <w:t>чл. 173, ал. 2 от АПК</w:t>
        </w:r>
      </w:hyperlink>
      <w:r w:rsidRPr="006B4E52">
        <w:rPr>
          <w:rFonts w:eastAsia="Times New Roman"/>
          <w:color w:val="000000"/>
          <w:lang w:eastAsia="bg-BG"/>
        </w:rPr>
        <w:t>, Административен съд Хасково, трети състав</w:t>
      </w:r>
    </w:p>
    <w:p w:rsidR="006B4E52" w:rsidRPr="006B4E52" w:rsidRDefault="006B4E52" w:rsidP="006B4E52">
      <w:pPr>
        <w:widowControl/>
        <w:suppressAutoHyphens w:val="0"/>
        <w:spacing w:before="100" w:beforeAutospacing="1" w:after="100" w:afterAutospacing="1"/>
        <w:ind w:firstLine="990"/>
        <w:jc w:val="center"/>
        <w:rPr>
          <w:rFonts w:eastAsia="Times New Roman"/>
          <w:lang w:eastAsia="bg-BG"/>
        </w:rPr>
      </w:pPr>
      <w:r w:rsidRPr="006B4E52">
        <w:rPr>
          <w:rFonts w:eastAsia="Times New Roman"/>
          <w:b/>
          <w:bCs/>
          <w:color w:val="000000"/>
          <w:lang w:eastAsia="bg-BG"/>
        </w:rPr>
        <w:t>РЕШИ:</w:t>
      </w:r>
    </w:p>
    <w:p w:rsidR="006B4E52" w:rsidRPr="006B4E52" w:rsidRDefault="006B4E52" w:rsidP="006B4E52">
      <w:pPr>
        <w:widowControl/>
        <w:suppressAutoHyphens w:val="0"/>
        <w:spacing w:before="100" w:beforeAutospacing="1" w:after="100" w:afterAutospacing="1"/>
        <w:ind w:firstLine="990"/>
        <w:jc w:val="both"/>
        <w:rPr>
          <w:rFonts w:eastAsia="Times New Roman"/>
          <w:lang w:eastAsia="bg-BG"/>
        </w:rPr>
      </w:pPr>
      <w:r w:rsidRPr="006B4E52">
        <w:rPr>
          <w:rFonts w:eastAsia="Times New Roman"/>
          <w:b/>
          <w:bCs/>
          <w:color w:val="000000"/>
          <w:lang w:eastAsia="bg-BG"/>
        </w:rPr>
        <w:t>ОТМЕНЯ</w:t>
      </w:r>
      <w:r w:rsidRPr="006B4E52">
        <w:rPr>
          <w:rFonts w:eastAsia="Times New Roman"/>
          <w:color w:val="000000"/>
          <w:lang w:eastAsia="bg-BG"/>
        </w:rPr>
        <w:t xml:space="preserve"> </w:t>
      </w:r>
      <w:r w:rsidRPr="006B4E52">
        <w:rPr>
          <w:rFonts w:eastAsia="Times New Roman"/>
          <w:color w:val="000000"/>
          <w:bdr w:val="none" w:sz="0" w:space="0" w:color="auto" w:frame="1"/>
          <w:shd w:val="clear" w:color="auto" w:fill="FFFFFF"/>
          <w:lang w:eastAsia="bg-BG"/>
        </w:rPr>
        <w:t>мълчалив отказ</w:t>
      </w:r>
      <w:r w:rsidRPr="006B4E52">
        <w:rPr>
          <w:rFonts w:eastAsia="Times New Roman"/>
          <w:color w:val="000000"/>
          <w:lang w:eastAsia="bg-BG"/>
        </w:rPr>
        <w:t xml:space="preserve"> на кмета на община Симеоновград да се произнесе по заявление с вх. № С-4365/18.08.2023г., подадено от И.П., за предоставяне на обществена информация.</w:t>
      </w:r>
    </w:p>
    <w:p w:rsidR="006B4E52" w:rsidRPr="006B4E52" w:rsidRDefault="006B4E52" w:rsidP="006B4E52">
      <w:pPr>
        <w:widowControl/>
        <w:suppressAutoHyphens w:val="0"/>
        <w:spacing w:before="100" w:beforeAutospacing="1" w:after="100" w:afterAutospacing="1"/>
        <w:ind w:firstLine="990"/>
        <w:jc w:val="both"/>
        <w:rPr>
          <w:rFonts w:eastAsia="Times New Roman"/>
          <w:lang w:eastAsia="bg-BG"/>
        </w:rPr>
      </w:pPr>
      <w:r w:rsidRPr="006B4E52">
        <w:rPr>
          <w:rFonts w:eastAsia="Times New Roman"/>
          <w:b/>
          <w:bCs/>
          <w:color w:val="000000"/>
          <w:lang w:eastAsia="bg-BG"/>
        </w:rPr>
        <w:t>ВРЪЩА</w:t>
      </w:r>
      <w:r w:rsidRPr="006B4E52">
        <w:rPr>
          <w:rFonts w:eastAsia="Times New Roman"/>
          <w:color w:val="000000"/>
          <w:lang w:eastAsia="bg-BG"/>
        </w:rPr>
        <w:t xml:space="preserve"> делото като преписка на кмета на община Симеоновград за изрично произнасяне по подаденото от И.И.П. заявление с вх. № С-4365/18.08.2023г. за предоставяне на обществена информация, в 14-дневен срок от влизане на настоящото решение в сила.</w:t>
      </w:r>
    </w:p>
    <w:p w:rsidR="006B4E52" w:rsidRPr="006B4E52" w:rsidRDefault="006B4E52" w:rsidP="006B4E52">
      <w:pPr>
        <w:widowControl/>
        <w:suppressAutoHyphens w:val="0"/>
        <w:spacing w:before="100" w:beforeAutospacing="1" w:after="100" w:afterAutospacing="1"/>
        <w:ind w:firstLine="990"/>
        <w:jc w:val="both"/>
        <w:rPr>
          <w:rFonts w:eastAsia="Times New Roman"/>
          <w:lang w:eastAsia="bg-BG"/>
        </w:rPr>
      </w:pPr>
      <w:r w:rsidRPr="006B4E52">
        <w:rPr>
          <w:rFonts w:eastAsia="Times New Roman"/>
          <w:b/>
          <w:bCs/>
          <w:color w:val="000000"/>
          <w:lang w:eastAsia="bg-BG"/>
        </w:rPr>
        <w:t xml:space="preserve">ОСЪЖДА </w:t>
      </w:r>
      <w:r w:rsidRPr="006B4E52">
        <w:rPr>
          <w:rFonts w:eastAsia="Times New Roman"/>
          <w:color w:val="000000"/>
          <w:lang w:eastAsia="bg-BG"/>
        </w:rPr>
        <w:t>Община Симеоновград да заплати на И.И.П. ***, направените по делото разноски в размер на 10.00 лева.</w:t>
      </w:r>
    </w:p>
    <w:p w:rsidR="006B4E52" w:rsidRPr="006B4E52" w:rsidRDefault="006B4E52" w:rsidP="006B4E52">
      <w:pPr>
        <w:widowControl/>
        <w:suppressAutoHyphens w:val="0"/>
        <w:spacing w:before="100" w:beforeAutospacing="1" w:after="100" w:afterAutospacing="1"/>
        <w:ind w:firstLine="990"/>
        <w:jc w:val="both"/>
        <w:rPr>
          <w:rFonts w:eastAsia="Times New Roman"/>
          <w:lang w:eastAsia="bg-BG"/>
        </w:rPr>
      </w:pPr>
      <w:r w:rsidRPr="006B4E52">
        <w:rPr>
          <w:rFonts w:eastAsia="Times New Roman"/>
          <w:color w:val="000000"/>
          <w:lang w:eastAsia="bg-BG"/>
        </w:rPr>
        <w:t xml:space="preserve">Решението не подлежи на обжалване на основание </w:t>
      </w:r>
      <w:hyperlink r:id="rId35" w:history="1">
        <w:r w:rsidRPr="006B4E52">
          <w:rPr>
            <w:rFonts w:eastAsia="Times New Roman"/>
            <w:color w:val="000000"/>
            <w:u w:val="single"/>
            <w:lang w:eastAsia="bg-BG"/>
          </w:rPr>
          <w:t>чл. 40, ал. 3 от ЗДОИ</w:t>
        </w:r>
      </w:hyperlink>
      <w:r w:rsidRPr="006B4E52">
        <w:rPr>
          <w:rFonts w:eastAsia="Times New Roman"/>
          <w:color w:val="000000"/>
          <w:lang w:eastAsia="bg-BG"/>
        </w:rPr>
        <w:t>.</w:t>
      </w:r>
    </w:p>
    <w:p w:rsidR="00921B01" w:rsidRDefault="00921B01"/>
    <w:sectPr w:rsidR="00921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E52"/>
    <w:rsid w:val="00207733"/>
    <w:rsid w:val="00500242"/>
    <w:rsid w:val="006010D7"/>
    <w:rsid w:val="006B4E52"/>
    <w:rsid w:val="00921B01"/>
    <w:rsid w:val="00C927AB"/>
    <w:rsid w:val="00E4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29A65"/>
  <w15:chartTrackingRefBased/>
  <w15:docId w15:val="{E9EF0189-4357-4065-AE35-3A250BC7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7733"/>
    <w:pPr>
      <w:widowControl w:val="0"/>
      <w:suppressAutoHyphens/>
    </w:pPr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qFormat/>
    <w:rsid w:val="00207733"/>
    <w:pPr>
      <w:suppressLineNumbers/>
      <w:spacing w:before="120" w:after="120"/>
    </w:pPr>
    <w:rPr>
      <w:rFonts w:cs="Tahoma"/>
      <w:i/>
      <w:iCs/>
    </w:rPr>
  </w:style>
  <w:style w:type="character" w:styleId="Strong">
    <w:name w:val="Strong"/>
    <w:uiPriority w:val="22"/>
    <w:qFormat/>
    <w:rsid w:val="00207733"/>
    <w:rPr>
      <w:b/>
      <w:bCs/>
    </w:rPr>
  </w:style>
  <w:style w:type="paragraph" w:styleId="ListParagraph">
    <w:name w:val="List Paragraph"/>
    <w:basedOn w:val="Normal"/>
    <w:uiPriority w:val="34"/>
    <w:qFormat/>
    <w:rsid w:val="0020773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B4E52"/>
    <w:pPr>
      <w:widowControl/>
      <w:suppressAutoHyphens w:val="0"/>
      <w:spacing w:before="100" w:beforeAutospacing="1" w:after="100" w:afterAutospacing="1"/>
    </w:pPr>
    <w:rPr>
      <w:rFonts w:eastAsia="Times New Roman"/>
      <w:lang w:eastAsia="bg-BG"/>
    </w:rPr>
  </w:style>
  <w:style w:type="character" w:customStyle="1" w:styleId="printdefinition">
    <w:name w:val="printdefinition"/>
    <w:basedOn w:val="DefaultParagraphFont"/>
    <w:rsid w:val="006B4E52"/>
  </w:style>
  <w:style w:type="paragraph" w:customStyle="1" w:styleId="body-text">
    <w:name w:val="body-text"/>
    <w:basedOn w:val="Normal"/>
    <w:rsid w:val="006B4E52"/>
    <w:pPr>
      <w:widowControl/>
      <w:suppressAutoHyphens w:val="0"/>
      <w:spacing w:before="100" w:beforeAutospacing="1" w:after="100" w:afterAutospacing="1"/>
    </w:pPr>
    <w:rPr>
      <w:rFonts w:eastAsia="Times New Roman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6B4E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5576">
          <w:marLeft w:val="0"/>
          <w:marRight w:val="0"/>
          <w:marTop w:val="0"/>
          <w:marBottom w:val="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apis://Base=NARH&amp;DocCode=4752&amp;Type=201" TargetMode="External"/><Relationship Id="rId18" Type="http://schemas.openxmlformats.org/officeDocument/2006/relationships/hyperlink" Target="apis://Base=NARH&amp;DocCode=4752&amp;ToPar=Chap3&amp;Type=201" TargetMode="External"/><Relationship Id="rId26" Type="http://schemas.openxmlformats.org/officeDocument/2006/relationships/hyperlink" Target="apis://Base=NARH&amp;DocCode=4752&amp;ToPar=Art38&amp;Type=201" TargetMode="External"/><Relationship Id="rId21" Type="http://schemas.openxmlformats.org/officeDocument/2006/relationships/hyperlink" Target="apis://Base=NARH&amp;DocCode=2024&amp;ToPar=Art58_Al1&amp;Type=201" TargetMode="External"/><Relationship Id="rId34" Type="http://schemas.openxmlformats.org/officeDocument/2006/relationships/hyperlink" Target="apis://Base=NARH&amp;DocCode=2024&amp;ToPar=Art173_Al2&amp;Type=201" TargetMode="External"/><Relationship Id="rId7" Type="http://schemas.openxmlformats.org/officeDocument/2006/relationships/hyperlink" Target="apis://Base=NARH&amp;DocCode=4752&amp;ToPar=Art29&amp;Type=201" TargetMode="External"/><Relationship Id="rId12" Type="http://schemas.openxmlformats.org/officeDocument/2006/relationships/hyperlink" Target="apis://Base=NARH&amp;DocCode=1002&amp;ToPar=Art41_Al2&amp;Type=201" TargetMode="External"/><Relationship Id="rId17" Type="http://schemas.openxmlformats.org/officeDocument/2006/relationships/hyperlink" Target="apis://Base=NARH&amp;DocCode=4752&amp;ToPar=Art28_Al1&amp;Type=201" TargetMode="External"/><Relationship Id="rId25" Type="http://schemas.openxmlformats.org/officeDocument/2006/relationships/hyperlink" Target="apis://Base=NARH&amp;DocCode=4752&amp;ToPar=Art34&amp;Type=201" TargetMode="External"/><Relationship Id="rId33" Type="http://schemas.openxmlformats.org/officeDocument/2006/relationships/hyperlink" Target="apis://Base=NARH&amp;DocCode=4752&amp;ToPar=Art37_Al1&amp;Type=201" TargetMode="External"/><Relationship Id="rId2" Type="http://schemas.openxmlformats.org/officeDocument/2006/relationships/settings" Target="settings.xml"/><Relationship Id="rId16" Type="http://schemas.openxmlformats.org/officeDocument/2006/relationships/hyperlink" Target="apis://Base=NARH&amp;DocCode=4752&amp;ToPar=Sec2&amp;Type=201" TargetMode="External"/><Relationship Id="rId20" Type="http://schemas.openxmlformats.org/officeDocument/2006/relationships/hyperlink" Target="apis://Base=NARH&amp;DocCode=4752&amp;ToPar=Art29_Al1&amp;Type=201" TargetMode="External"/><Relationship Id="rId29" Type="http://schemas.openxmlformats.org/officeDocument/2006/relationships/hyperlink" Target="apis://Base=NARH&amp;DocCode=4752&amp;ToPar=Art38&amp;Type=201" TargetMode="External"/><Relationship Id="rId1" Type="http://schemas.openxmlformats.org/officeDocument/2006/relationships/styles" Target="styles.xml"/><Relationship Id="rId6" Type="http://schemas.openxmlformats.org/officeDocument/2006/relationships/hyperlink" Target="apis://Base=NARH&amp;DocCode=4752&amp;ToPar=Art28_Al1&amp;Type=201" TargetMode="External"/><Relationship Id="rId11" Type="http://schemas.openxmlformats.org/officeDocument/2006/relationships/hyperlink" Target="apis://Base=NARH&amp;DocCode=1002&amp;ToPar=Art41_Al1&amp;Type=201" TargetMode="External"/><Relationship Id="rId24" Type="http://schemas.openxmlformats.org/officeDocument/2006/relationships/hyperlink" Target="apis://Base=NARH&amp;DocCode=4752&amp;ToPar=Art28_Al2&amp;Type=201" TargetMode="External"/><Relationship Id="rId32" Type="http://schemas.openxmlformats.org/officeDocument/2006/relationships/hyperlink" Target="apis://Base=NARH&amp;DocCode=4752&amp;ToPar=Art3&amp;Type=201" TargetMode="External"/><Relationship Id="rId37" Type="http://schemas.openxmlformats.org/officeDocument/2006/relationships/theme" Target="theme/theme1.xml"/><Relationship Id="rId5" Type="http://schemas.openxmlformats.org/officeDocument/2006/relationships/hyperlink" Target="apis://Base=NARH&amp;DocCode=4752&amp;ToPar=Art40&amp;Type=201" TargetMode="External"/><Relationship Id="rId15" Type="http://schemas.openxmlformats.org/officeDocument/2006/relationships/hyperlink" Target="apis://Base=NARH&amp;DocCode=4752&amp;ToPar=Par16&amp;Type=201" TargetMode="External"/><Relationship Id="rId23" Type="http://schemas.openxmlformats.org/officeDocument/2006/relationships/hyperlink" Target="apis://Base=NARH&amp;DocCode=4752&amp;ToPar=Art3&amp;Type=201" TargetMode="External"/><Relationship Id="rId28" Type="http://schemas.openxmlformats.org/officeDocument/2006/relationships/hyperlink" Target="apis://Base=NARH&amp;DocCode=4752&amp;ToPar=Art28_Al2&amp;Type=201" TargetMode="External"/><Relationship Id="rId36" Type="http://schemas.openxmlformats.org/officeDocument/2006/relationships/fontTable" Target="fontTable.xml"/><Relationship Id="rId10" Type="http://schemas.openxmlformats.org/officeDocument/2006/relationships/hyperlink" Target="apis://Base=NARH&amp;DocCode=4752&amp;ToPar=Art3_Al2_Pt2&amp;Type=201" TargetMode="External"/><Relationship Id="rId19" Type="http://schemas.openxmlformats.org/officeDocument/2006/relationships/hyperlink" Target="apis://Base=NARH&amp;DocCode=4752&amp;ToPar=Art28_Al2&amp;Type=201" TargetMode="External"/><Relationship Id="rId31" Type="http://schemas.openxmlformats.org/officeDocument/2006/relationships/hyperlink" Target="apis://Base=NARH&amp;DocCode=4752&amp;ToPar=Art30_Al2&amp;Type=201" TargetMode="External"/><Relationship Id="rId4" Type="http://schemas.openxmlformats.org/officeDocument/2006/relationships/hyperlink" Target="apis://Base=NARH&amp;DocCode=2024&amp;ToPar=Art145&amp;Type=201" TargetMode="External"/><Relationship Id="rId9" Type="http://schemas.openxmlformats.org/officeDocument/2006/relationships/hyperlink" Target="apis://Base=NARH&amp;DocCode=2024&amp;ToPar=Art149_Al2&amp;Type=201" TargetMode="External"/><Relationship Id="rId14" Type="http://schemas.openxmlformats.org/officeDocument/2006/relationships/hyperlink" Target="apis://Base=APEV&amp;Celex=32003L0098&amp;Type=201" TargetMode="External"/><Relationship Id="rId22" Type="http://schemas.openxmlformats.org/officeDocument/2006/relationships/hyperlink" Target="apis://Base=NARH&amp;DocCode=4752&amp;ToPar=Art25_Al1&amp;Type=201" TargetMode="External"/><Relationship Id="rId27" Type="http://schemas.openxmlformats.org/officeDocument/2006/relationships/hyperlink" Target="apis://Base=NARH&amp;DocCode=2024&amp;ToPar=Al1&amp;Type=201" TargetMode="External"/><Relationship Id="rId30" Type="http://schemas.openxmlformats.org/officeDocument/2006/relationships/hyperlink" Target="apis://Base=NARH&amp;DocCode=4752&amp;ToPar=Art30&amp;Type=201" TargetMode="External"/><Relationship Id="rId35" Type="http://schemas.openxmlformats.org/officeDocument/2006/relationships/hyperlink" Target="apis://Base=NARH&amp;DocCode=4752&amp;ToPar=Art40_Al3&amp;Type=201" TargetMode="External"/><Relationship Id="rId8" Type="http://schemas.openxmlformats.org/officeDocument/2006/relationships/hyperlink" Target="apis://Base=NARH&amp;DocCode=4752&amp;ToPar=Art30&amp;Type=201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1778</Words>
  <Characters>10136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 Terziyski</dc:creator>
  <cp:keywords/>
  <dc:description/>
  <cp:lastModifiedBy>Kiril Terziyski</cp:lastModifiedBy>
  <cp:revision>4</cp:revision>
  <dcterms:created xsi:type="dcterms:W3CDTF">2023-11-30T11:17:00Z</dcterms:created>
  <dcterms:modified xsi:type="dcterms:W3CDTF">2023-11-30T12:04:00Z</dcterms:modified>
</cp:coreProperties>
</file>